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7901D" w14:textId="63D28656" w:rsidR="00D80A3D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452CDC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C45FE2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452CDC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B82BF3" w:rsidRPr="00B82BF3">
        <w:rPr>
          <w:rFonts w:ascii="Arial" w:eastAsia="MS Mincho" w:hAnsi="Arial"/>
          <w:b/>
          <w:sz w:val="24"/>
          <w:szCs w:val="24"/>
          <w:lang w:eastAsia="x-none"/>
        </w:rPr>
        <w:t>R2-191591</w:t>
      </w:r>
      <w:r w:rsidR="00B82BF3">
        <w:rPr>
          <w:rFonts w:ascii="Arial" w:eastAsia="MS Mincho" w:hAnsi="Arial"/>
          <w:b/>
          <w:sz w:val="24"/>
          <w:szCs w:val="24"/>
          <w:lang w:eastAsia="x-none"/>
        </w:rPr>
        <w:t>9</w:t>
      </w:r>
      <w:bookmarkStart w:id="0" w:name="_GoBack"/>
      <w:bookmarkEnd w:id="0"/>
    </w:p>
    <w:p w14:paraId="6AFFB3AA" w14:textId="4631E135" w:rsidR="00313F70" w:rsidRPr="00452CDC" w:rsidRDefault="00C45FE2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Rena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D80A3D" w:rsidRPr="00452CDC">
        <w:rPr>
          <w:rFonts w:ascii="Arial" w:eastAsia="MS Mincho" w:hAnsi="Arial"/>
          <w:b/>
          <w:szCs w:val="24"/>
          <w:lang w:eastAsia="x-none"/>
        </w:rPr>
        <w:t>(Revision of R2-19</w:t>
      </w:r>
      <w:r>
        <w:rPr>
          <w:rFonts w:ascii="Arial" w:eastAsia="MS Mincho" w:hAnsi="Arial"/>
          <w:b/>
          <w:szCs w:val="24"/>
          <w:lang w:eastAsia="x-none"/>
        </w:rPr>
        <w:t>13135</w:t>
      </w:r>
      <w:r w:rsidR="00D80A3D" w:rsidRPr="00452CDC">
        <w:rPr>
          <w:rFonts w:ascii="Arial" w:eastAsia="MS Mincho" w:hAnsi="Arial"/>
          <w:b/>
          <w:szCs w:val="24"/>
          <w:lang w:eastAsia="x-none"/>
        </w:rPr>
        <w:t>)</w:t>
      </w:r>
    </w:p>
    <w:p w14:paraId="62349A0E" w14:textId="77777777" w:rsidR="00D80A3D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020445AA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80A3D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DB2323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4521EA6A" w:rsidR="006539B5" w:rsidRDefault="00313F70" w:rsidP="006539B5">
      <w:r w:rsidRPr="001046B6">
        <w:t>At</w:t>
      </w:r>
      <w:r>
        <w:t xml:space="preserve"> RAN</w:t>
      </w:r>
      <w:r w:rsidRPr="006A72A0">
        <w:t xml:space="preserve"> </w:t>
      </w:r>
      <w:r>
        <w:t>#8</w:t>
      </w:r>
      <w:r w:rsidR="00D80A3D">
        <w:t>5</w:t>
      </w:r>
      <w:r>
        <w:t>,</w:t>
      </w:r>
      <w:r w:rsidRPr="001046B6">
        <w:t xml:space="preserve"> </w:t>
      </w:r>
      <w:r>
        <w:t xml:space="preserve">the work item for NR </w:t>
      </w:r>
      <w:r w:rsidRPr="00313F70">
        <w:t xml:space="preserve">Industrial Internet of Things </w:t>
      </w:r>
      <w:r>
        <w:t>(</w:t>
      </w:r>
      <w:proofErr w:type="spellStart"/>
      <w:r w:rsidR="004C65B0">
        <w:t>I</w:t>
      </w:r>
      <w:r>
        <w:t>IoT</w:t>
      </w:r>
      <w:proofErr w:type="spellEnd"/>
      <w:r>
        <w:t>) was approved and one of WI objectives are as follows</w:t>
      </w:r>
      <w:r w:rsidRPr="001046B6">
        <w:t>:</w:t>
      </w:r>
    </w:p>
    <w:tbl>
      <w:tblPr>
        <w:tblStyle w:val="a8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0A3D" w14:paraId="67B74578" w14:textId="77777777" w:rsidTr="00D80A3D">
        <w:tc>
          <w:tcPr>
            <w:tcW w:w="9631" w:type="dxa"/>
          </w:tcPr>
          <w:p w14:paraId="5E2E6A4A" w14:textId="77777777" w:rsidR="00D80A3D" w:rsidRPr="00D80A3D" w:rsidRDefault="00D80A3D" w:rsidP="00D80A3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bCs/>
                <w:lang w:eastAsia="en-GB"/>
              </w:rPr>
              <w:t>The detailed objectives for NR intra-UE prioritization/multiplexing are:</w:t>
            </w:r>
          </w:p>
          <w:p w14:paraId="35B08561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enhancements to address resource conflicts between dynamic grant (DG) and configured grant (CG) PUSCH and conflicts involving multiple CGs [RAN2, RAN1].</w:t>
            </w:r>
          </w:p>
          <w:p w14:paraId="4FF9B4AD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PUSCH grant prioritization based on LCH priorities and LCP restrictions for the cases where MAC prioritizes the grant [RAN2].</w:t>
            </w:r>
          </w:p>
          <w:p w14:paraId="399533E7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highlight w:val="yellow"/>
                <w:lang w:eastAsia="en-GB"/>
              </w:rPr>
              <w:t>Address UL data/control and control/control resource collision by</w:t>
            </w:r>
            <w:r w:rsidRPr="00D80A3D">
              <w:rPr>
                <w:rFonts w:eastAsia="맑은 고딕"/>
                <w:lang w:eastAsia="en-GB"/>
              </w:rPr>
              <w:t xml:space="preserve"> (L1 multiplexing of services of different priority is out of scope):</w:t>
            </w:r>
          </w:p>
          <w:p w14:paraId="2BF503B4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a method to address resource collision between SR associating to high-priority traffic and uplink data of lower-priority traffic for the cases where MAC determines the prioritization [RAN2].</w:t>
            </w:r>
          </w:p>
          <w:p w14:paraId="018F0B75" w14:textId="6B01993B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prioritization behaviour among HARQ-ACK/SR/CSI and PUSCH for traffic with different priorities, including the cases with UCI on PUCCH and UCI on PUSCH [RAN1, RAN2].</w:t>
            </w:r>
          </w:p>
        </w:tc>
      </w:tr>
    </w:tbl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 xml:space="preserve">satisfy the </w:t>
      </w:r>
      <w:proofErr w:type="spellStart"/>
      <w:r w:rsidR="007E2469">
        <w:t>QoS</w:t>
      </w:r>
      <w:proofErr w:type="spellEnd"/>
      <w:r w:rsidR="007E2469">
        <w:t xml:space="preserve">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758907E" wp14:editId="40181042">
                <wp:extent cx="6115507" cy="2660650"/>
                <wp:effectExtent l="0" t="0" r="1905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2EBB6" w14:textId="77777777" w:rsidR="00D47340" w:rsidRPr="00D47340" w:rsidRDefault="00D47340" w:rsidP="00D47340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jc w:val="left"/>
                              <w:outlineLvl w:val="1"/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</w:pPr>
                            <w:bookmarkStart w:id="2" w:name="_Toc12751573"/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>5.14</w:t>
                            </w:r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ab/>
                              <w:t>Handling of measurement gaps</w:t>
                            </w:r>
                            <w:bookmarkEnd w:id="2"/>
                          </w:p>
                          <w:p w14:paraId="3E59857A" w14:textId="77777777" w:rsidR="00D47340" w:rsidRPr="00D47340" w:rsidRDefault="00D47340" w:rsidP="00D47340">
                            <w:pPr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proofErr w:type="spellStart"/>
                            <w:r w:rsidRPr="00D47340">
                              <w:rPr>
                                <w:rFonts w:eastAsia="맑은 고딕"/>
                                <w:i/>
                              </w:rPr>
                              <w:t>measGapConfig</w:t>
                            </w:r>
                            <w:proofErr w:type="spellEnd"/>
                            <w:r w:rsidRPr="00D47340">
                              <w:rPr>
                                <w:rFonts w:eastAsia="맑은 고딕"/>
                              </w:rPr>
                              <w:t xml:space="preserve"> 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0B62636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588D18B9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37FA6007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transmit on UL-SCH except for Msg3 as specified in clause 5.4.2.2;</w:t>
                            </w:r>
                          </w:p>
                          <w:p w14:paraId="1B42B8D3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if the </w:t>
                            </w:r>
                            <w:proofErr w:type="spellStart"/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ra-ResponseWindow</w:t>
                            </w:r>
                            <w:proofErr w:type="spellEnd"/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or the </w:t>
                            </w:r>
                            <w:proofErr w:type="spellStart"/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ra-ContentionResolutionTimer</w:t>
                            </w:r>
                            <w:proofErr w:type="spellEnd"/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69B926A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monitor the PDCCH as specified in clauses 5.1.4 and 5.1.5.</w:t>
                            </w:r>
                          </w:p>
                          <w:p w14:paraId="7F0DCB9B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4F48F6D0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monitor the PDCCH;</w:t>
                            </w:r>
                          </w:p>
                          <w:p w14:paraId="3D316CF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receive on DL-SCH.</w:t>
                            </w:r>
                          </w:p>
                          <w:p w14:paraId="214D840B" w14:textId="775BD0F2" w:rsidR="007E2469" w:rsidRPr="00D47340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58907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1.55pt;height:2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">
                <v:textbox>
                  <w:txbxContent>
                    <w:p w14:paraId="4C42EBB6" w14:textId="77777777" w:rsidR="00D47340" w:rsidRPr="00D47340" w:rsidRDefault="00D47340" w:rsidP="00D47340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jc w:val="left"/>
                        <w:outlineLvl w:val="1"/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</w:pPr>
                      <w:bookmarkStart w:id="3" w:name="_Toc12751573"/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>5.14</w:t>
                      </w:r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ab/>
                        <w:t>Handling of measurement gaps</w:t>
                      </w:r>
                      <w:bookmarkEnd w:id="3"/>
                    </w:p>
                    <w:p w14:paraId="3E59857A" w14:textId="77777777" w:rsidR="00D47340" w:rsidRPr="00D47340" w:rsidRDefault="00D47340" w:rsidP="00D47340">
                      <w:pPr>
                        <w:spacing w:after="180" w:line="240" w:lineRule="auto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</w:rPr>
                        <w:t>measGapConfig</w:t>
                      </w:r>
                      <w:proofErr w:type="spellEnd"/>
                      <w:r w:rsidRPr="00D47340">
                        <w:rPr>
                          <w:rFonts w:eastAsia="맑은 고딕"/>
                        </w:rPr>
                        <w:t xml:space="preserve"> 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>as specified in TS 38.331 [5]:</w:t>
                      </w:r>
                    </w:p>
                    <w:p w14:paraId="0B62636E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588D18B9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report SRS;</w:t>
                      </w:r>
                    </w:p>
                    <w:p w14:paraId="37FA6007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transmit on UL-SCH except for Msg3 as specified in clause 5.4.2.2;</w:t>
                      </w:r>
                    </w:p>
                    <w:p w14:paraId="1B42B8D3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 xml:space="preserve">if the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ra-ResponseWindow</w:t>
                      </w:r>
                      <w:proofErr w:type="spellEnd"/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or the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ra-ContentionResolutionTimer</w:t>
                      </w:r>
                      <w:proofErr w:type="spellEnd"/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is running:</w:t>
                      </w:r>
                    </w:p>
                    <w:p w14:paraId="69B926A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monitor the PDCCH as specified in clauses 5.1.4 and 5.1.5.</w:t>
                      </w:r>
                    </w:p>
                    <w:p w14:paraId="7F0DCB9B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else:</w:t>
                      </w:r>
                    </w:p>
                    <w:p w14:paraId="4F48F6D0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monitor the PDCCH;</w:t>
                      </w:r>
                    </w:p>
                    <w:p w14:paraId="3D316CF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receive on DL-SCH.</w:t>
                      </w:r>
                    </w:p>
                    <w:p w14:paraId="214D840B" w14:textId="775BD0F2" w:rsidR="007E2469" w:rsidRPr="00D47340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</w:t>
      </w:r>
      <w:proofErr w:type="spellStart"/>
      <w:r w:rsidR="00753087" w:rsidRPr="00753087">
        <w:rPr>
          <w:lang w:eastAsia="ko-KR"/>
        </w:rPr>
        <w:t>QoS</w:t>
      </w:r>
      <w:proofErr w:type="spellEnd"/>
      <w:r w:rsidR="00753087" w:rsidRPr="00753087">
        <w:rPr>
          <w:lang w:eastAsia="ko-KR"/>
        </w:rPr>
        <w:t xml:space="preserve">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</w:t>
      </w:r>
      <w:proofErr w:type="spellStart"/>
      <w:r>
        <w:t>QoS</w:t>
      </w:r>
      <w:proofErr w:type="spellEnd"/>
      <w:r>
        <w:t xml:space="preserve">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46421" w14:textId="77777777" w:rsidR="00F53AB0" w:rsidRDefault="00F53AB0">
      <w:pPr>
        <w:spacing w:after="0"/>
      </w:pPr>
      <w:r>
        <w:separator/>
      </w:r>
    </w:p>
  </w:endnote>
  <w:endnote w:type="continuationSeparator" w:id="0">
    <w:p w14:paraId="238EB54F" w14:textId="77777777" w:rsidR="00F53AB0" w:rsidRDefault="00F53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2BF3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A1E49" w14:textId="77777777" w:rsidR="00F53AB0" w:rsidRDefault="00F53AB0">
      <w:pPr>
        <w:spacing w:after="0"/>
      </w:pPr>
      <w:r>
        <w:separator/>
      </w:r>
    </w:p>
  </w:footnote>
  <w:footnote w:type="continuationSeparator" w:id="0">
    <w:p w14:paraId="6F579264" w14:textId="77777777" w:rsidR="00F53AB0" w:rsidRDefault="00F53A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D1A6787"/>
    <w:multiLevelType w:val="hybridMultilevel"/>
    <w:tmpl w:val="6E58C6A2"/>
    <w:lvl w:ilvl="0" w:tplc="6924F980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04FE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CAC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37F02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6A62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4D4C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2CD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AFF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089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631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6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2BF3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5FE2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47340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A3D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323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2C8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3AB0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14B0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5466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A4884-C562-449E-8C04-D4739729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JaYeong Kim</cp:lastModifiedBy>
  <cp:revision>11</cp:revision>
  <dcterms:created xsi:type="dcterms:W3CDTF">2019-03-29T02:12:00Z</dcterms:created>
  <dcterms:modified xsi:type="dcterms:W3CDTF">2019-11-08T01:43:00Z</dcterms:modified>
</cp:coreProperties>
</file>